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476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0"/>
        <w:jc w:val="center"/>
        <w:textAlignment w:val="auto"/>
        <w:rPr>
          <w:rFonts w:hint="eastAsia" w:ascii="微软雅黑" w:hAnsi="微软雅黑" w:eastAsia="微软雅黑" w:cs="微软雅黑"/>
          <w:b w:val="0"/>
          <w:bCs/>
          <w:i w:val="0"/>
          <w:caps w:val="0"/>
          <w:color w:val="auto"/>
          <w:spacing w:val="0"/>
          <w:kern w:val="0"/>
          <w:sz w:val="36"/>
          <w:szCs w:val="36"/>
          <w:lang w:val="en-US" w:eastAsia="zh-CN" w:bidi="ar"/>
        </w:rPr>
      </w:pPr>
    </w:p>
    <w:p w14:paraId="41CC2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0"/>
        <w:jc w:val="center"/>
        <w:textAlignment w:val="auto"/>
        <w:rPr>
          <w:rFonts w:ascii="微软雅黑" w:hAnsi="微软雅黑" w:eastAsia="微软雅黑" w:cs="微软雅黑"/>
          <w:b w:val="0"/>
          <w:bCs/>
          <w:i w:val="0"/>
          <w:caps w:val="0"/>
          <w:color w:val="auto"/>
          <w:spacing w:val="0"/>
          <w:sz w:val="36"/>
          <w:szCs w:val="36"/>
        </w:rPr>
      </w:pPr>
      <w:r>
        <w:rPr>
          <w:rFonts w:hint="eastAsia" w:ascii="微软雅黑" w:hAnsi="微软雅黑" w:eastAsia="微软雅黑" w:cs="微软雅黑"/>
          <w:b w:val="0"/>
          <w:bCs/>
          <w:i w:val="0"/>
          <w:caps w:val="0"/>
          <w:color w:val="auto"/>
          <w:spacing w:val="0"/>
          <w:kern w:val="0"/>
          <w:sz w:val="36"/>
          <w:szCs w:val="36"/>
          <w:lang w:val="en-US" w:eastAsia="zh-CN" w:bidi="ar"/>
        </w:rPr>
        <w:t>第十三师应急管理局</w:t>
      </w:r>
      <w:r>
        <w:rPr>
          <w:rFonts w:ascii="微软雅黑" w:hAnsi="微软雅黑" w:eastAsia="微软雅黑" w:cs="微软雅黑"/>
          <w:b w:val="0"/>
          <w:bCs/>
          <w:i w:val="0"/>
          <w:caps w:val="0"/>
          <w:color w:val="auto"/>
          <w:spacing w:val="0"/>
          <w:sz w:val="36"/>
          <w:szCs w:val="36"/>
        </w:rPr>
        <w:t>行政处罚案件信息公开表</w:t>
      </w:r>
    </w:p>
    <w:p w14:paraId="0420F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0"/>
        <w:jc w:val="center"/>
        <w:textAlignment w:val="auto"/>
        <w:rPr>
          <w:rFonts w:hint="default" w:ascii="微软雅黑" w:hAnsi="微软雅黑" w:eastAsia="微软雅黑" w:cs="微软雅黑"/>
          <w:b w:val="0"/>
          <w:bCs/>
          <w:i w:val="0"/>
          <w:caps w:val="0"/>
          <w:color w:val="auto"/>
          <w:spacing w:val="0"/>
          <w:kern w:val="0"/>
          <w:sz w:val="36"/>
          <w:szCs w:val="36"/>
          <w:lang w:val="en-US" w:eastAsia="zh-CN" w:bidi="ar"/>
        </w:rPr>
      </w:pPr>
      <w:r>
        <w:rPr>
          <w:rFonts w:hint="eastAsia" w:ascii="微软雅黑" w:hAnsi="微软雅黑" w:eastAsia="微软雅黑" w:cs="微软雅黑"/>
          <w:b w:val="0"/>
          <w:bCs/>
          <w:i w:val="0"/>
          <w:caps w:val="0"/>
          <w:color w:val="auto"/>
          <w:spacing w:val="0"/>
          <w:kern w:val="0"/>
          <w:sz w:val="36"/>
          <w:szCs w:val="36"/>
          <w:lang w:val="en-US" w:eastAsia="zh-CN" w:bidi="ar"/>
        </w:rPr>
        <w:t xml:space="preserve">（2023年第6期）  </w:t>
      </w:r>
    </w:p>
    <w:p w14:paraId="4DD9EB57">
      <w:pPr>
        <w:pStyle w:val="6"/>
        <w:rPr>
          <w:rFonts w:hint="eastAsia"/>
          <w:color w:val="auto"/>
          <w:lang w:val="en-US" w:eastAsia="zh-CN"/>
        </w:rPr>
      </w:pPr>
    </w:p>
    <w:tbl>
      <w:tblPr>
        <w:tblStyle w:val="7"/>
        <w:tblW w:w="0" w:type="auto"/>
        <w:tblInd w:w="0" w:type="dxa"/>
        <w:tblLayout w:type="fixed"/>
        <w:tblCellMar>
          <w:top w:w="0" w:type="dxa"/>
          <w:left w:w="0" w:type="dxa"/>
          <w:bottom w:w="0" w:type="dxa"/>
          <w:right w:w="0" w:type="dxa"/>
        </w:tblCellMar>
      </w:tblPr>
      <w:tblGrid>
        <w:gridCol w:w="2786"/>
        <w:gridCol w:w="6794"/>
      </w:tblGrid>
      <w:tr w14:paraId="2F5693D3">
        <w:tblPrEx>
          <w:tblCellMar>
            <w:top w:w="0" w:type="dxa"/>
            <w:left w:w="0" w:type="dxa"/>
            <w:bottom w:w="0" w:type="dxa"/>
            <w:right w:w="0" w:type="dxa"/>
          </w:tblCellMar>
        </w:tblPrEx>
        <w:trPr>
          <w:trHeight w:val="918" w:hRule="atLeast"/>
        </w:trPr>
        <w:tc>
          <w:tcPr>
            <w:tcW w:w="9580" w:type="dxa"/>
            <w:gridSpan w:val="2"/>
            <w:tcBorders>
              <w:top w:val="nil"/>
              <w:left w:val="nil"/>
              <w:bottom w:val="nil"/>
              <w:right w:val="nil"/>
            </w:tcBorders>
            <w:noWrap/>
            <w:tcMar>
              <w:top w:w="15" w:type="dxa"/>
              <w:left w:w="15" w:type="dxa"/>
              <w:right w:w="15" w:type="dxa"/>
            </w:tcMar>
            <w:vAlign w:val="center"/>
          </w:tcPr>
          <w:p w14:paraId="68EBDF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第十三师安全生产行政处罚公示（师应急案〔2024〕WH02号）</w:t>
            </w:r>
          </w:p>
        </w:tc>
      </w:tr>
      <w:tr w14:paraId="50620B82">
        <w:tblPrEx>
          <w:tblCellMar>
            <w:top w:w="0" w:type="dxa"/>
            <w:left w:w="0" w:type="dxa"/>
            <w:bottom w:w="0" w:type="dxa"/>
            <w:right w:w="0" w:type="dxa"/>
          </w:tblCellMar>
        </w:tblPrEx>
        <w:trPr>
          <w:trHeight w:val="417" w:hRule="atLeast"/>
        </w:trPr>
        <w:tc>
          <w:tcPr>
            <w:tcW w:w="9580" w:type="dxa"/>
            <w:gridSpan w:val="2"/>
            <w:tcBorders>
              <w:top w:val="nil"/>
              <w:left w:val="nil"/>
              <w:bottom w:val="nil"/>
              <w:right w:val="nil"/>
            </w:tcBorders>
            <w:noWrap/>
            <w:tcMar>
              <w:top w:w="15" w:type="dxa"/>
              <w:left w:w="15" w:type="dxa"/>
              <w:right w:w="15" w:type="dxa"/>
            </w:tcMar>
            <w:vAlign w:val="center"/>
          </w:tcPr>
          <w:p w14:paraId="3E60D7B3">
            <w:pPr>
              <w:keepNext w:val="0"/>
              <w:keepLines w:val="0"/>
              <w:pageBreakBefore w:val="0"/>
              <w:kinsoku/>
              <w:wordWrap/>
              <w:overflowPunct/>
              <w:topLinePunct w:val="0"/>
              <w:autoSpaceDE/>
              <w:autoSpaceDN/>
              <w:bidi w:val="0"/>
              <w:adjustRightInd/>
              <w:snapToGrid/>
              <w:spacing w:line="340" w:lineRule="exact"/>
              <w:jc w:val="left"/>
              <w:rPr>
                <w:rFonts w:hint="eastAsia" w:ascii="宋体" w:hAnsi="宋体" w:eastAsia="宋体" w:cs="宋体"/>
                <w:i w:val="0"/>
                <w:color w:val="auto"/>
                <w:sz w:val="24"/>
                <w:szCs w:val="24"/>
                <w:u w:val="none"/>
              </w:rPr>
            </w:pPr>
          </w:p>
        </w:tc>
      </w:tr>
      <w:tr w14:paraId="7BD6C060">
        <w:tblPrEx>
          <w:tblCellMar>
            <w:top w:w="0" w:type="dxa"/>
            <w:left w:w="0" w:type="dxa"/>
            <w:bottom w:w="0" w:type="dxa"/>
            <w:right w:w="0" w:type="dxa"/>
          </w:tblCellMar>
        </w:tblPrEx>
        <w:trPr>
          <w:trHeight w:val="74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533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处罚决定文号</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C32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行政处罚决定书（十三师应急罚[2024]WH02号）</w:t>
            </w:r>
          </w:p>
        </w:tc>
      </w:tr>
      <w:tr w14:paraId="078B4CD8">
        <w:tblPrEx>
          <w:tblCellMar>
            <w:top w:w="0" w:type="dxa"/>
            <w:left w:w="0" w:type="dxa"/>
            <w:bottom w:w="0" w:type="dxa"/>
            <w:right w:w="0" w:type="dxa"/>
          </w:tblCellMar>
        </w:tblPrEx>
        <w:trPr>
          <w:trHeight w:val="523"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005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处罚名称</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BB5A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哈密奥发鑫源化工有限责任公司存在重大隐患及其他隐患行政处罚案</w:t>
            </w:r>
          </w:p>
        </w:tc>
      </w:tr>
      <w:tr w14:paraId="7C10C9A7">
        <w:tblPrEx>
          <w:tblCellMar>
            <w:top w:w="0" w:type="dxa"/>
            <w:left w:w="0" w:type="dxa"/>
            <w:bottom w:w="0" w:type="dxa"/>
            <w:right w:w="0" w:type="dxa"/>
          </w:tblCellMar>
        </w:tblPrEx>
        <w:trPr>
          <w:trHeight w:val="57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0B2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处罚类别</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56B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责令限期整改，并处罚款。</w:t>
            </w:r>
          </w:p>
        </w:tc>
      </w:tr>
      <w:tr w14:paraId="4F61A320">
        <w:tblPrEx>
          <w:tblCellMar>
            <w:top w:w="0" w:type="dxa"/>
            <w:left w:w="0" w:type="dxa"/>
            <w:bottom w:w="0" w:type="dxa"/>
            <w:right w:w="0" w:type="dxa"/>
          </w:tblCellMar>
        </w:tblPrEx>
        <w:trPr>
          <w:trHeight w:val="1362"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8EF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违法事实</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B5C39">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both"/>
              <w:textAlignment w:val="center"/>
              <w:rPr>
                <w:rFonts w:hint="eastAsia" w:ascii="宋体" w:hAnsi="宋体" w:eastAsia="宋体" w:cs="宋体"/>
                <w:i w:val="0"/>
                <w:color w:val="auto"/>
                <w:kern w:val="0"/>
                <w:sz w:val="22"/>
                <w:szCs w:val="22"/>
                <w:u w:val="none"/>
                <w:lang w:val="en-US" w:eastAsia="zh-CN" w:bidi="ar"/>
              </w:rPr>
            </w:pPr>
            <w:r>
              <w:rPr>
                <w:rFonts w:hint="eastAsia" w:ascii="方正仿宋简体" w:hAnsi="方正仿宋简体" w:eastAsia="方正仿宋简体" w:cs="方正仿宋简体"/>
                <w:sz w:val="22"/>
                <w:szCs w:val="22"/>
                <w:lang w:val="en-US" w:eastAsia="zh-CN"/>
              </w:rPr>
              <w:t>2024年7月5日，</w:t>
            </w:r>
            <w:r>
              <w:rPr>
                <w:rFonts w:hint="default" w:ascii="方正仿宋简体" w:hAnsi="方正仿宋简体" w:eastAsia="方正仿宋简体" w:cs="方正仿宋简体"/>
                <w:sz w:val="22"/>
                <w:szCs w:val="22"/>
                <w:lang w:val="en-US" w:eastAsia="zh-CN"/>
              </w:rPr>
              <w:t>第六师应急管理局按照兵团安委会办公室《关于开展兵团2024年危险化学品重大危险源企业2024年交叉检查工作的通知》要求，对</w:t>
            </w:r>
            <w:r>
              <w:rPr>
                <w:rFonts w:hint="eastAsia" w:ascii="方正仿宋简体" w:hAnsi="方正仿宋简体" w:eastAsia="方正仿宋简体" w:cs="方正仿宋简体"/>
                <w:sz w:val="22"/>
                <w:szCs w:val="22"/>
                <w:lang w:val="en-US" w:eastAsia="zh-CN"/>
              </w:rPr>
              <w:t>十三师新星市</w:t>
            </w:r>
            <w:r>
              <w:rPr>
                <w:rFonts w:hint="default" w:ascii="方正仿宋简体" w:hAnsi="方正仿宋简体" w:eastAsia="方正仿宋简体" w:cs="方正仿宋简体"/>
                <w:sz w:val="22"/>
                <w:szCs w:val="22"/>
                <w:lang w:val="en-US" w:eastAsia="zh-CN"/>
              </w:rPr>
              <w:t>危险化学品重大危险源企业开展检查</w:t>
            </w:r>
            <w:r>
              <w:rPr>
                <w:rFonts w:hint="eastAsia" w:ascii="方正仿宋简体" w:hAnsi="方正仿宋简体" w:eastAsia="方正仿宋简体" w:cs="方正仿宋简体"/>
                <w:sz w:val="22"/>
                <w:szCs w:val="22"/>
                <w:lang w:val="en-US" w:eastAsia="zh-CN"/>
              </w:rPr>
              <w:t>，发现哈密奥发鑫源化工有限责任公司存在重大隐患及其他隐患问题。</w:t>
            </w:r>
          </w:p>
        </w:tc>
      </w:tr>
      <w:tr w14:paraId="6D37EDFD">
        <w:tblPrEx>
          <w:tblCellMar>
            <w:top w:w="0" w:type="dxa"/>
            <w:left w:w="0" w:type="dxa"/>
            <w:bottom w:w="0" w:type="dxa"/>
            <w:right w:w="0" w:type="dxa"/>
          </w:tblCellMar>
        </w:tblPrEx>
        <w:trPr>
          <w:trHeight w:val="1270"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8F6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处罚依据</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612F5">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both"/>
              <w:textAlignment w:val="center"/>
              <w:rPr>
                <w:rFonts w:hint="eastAsia" w:ascii="方正仿宋简体" w:hAnsi="方正仿宋简体" w:eastAsia="方正仿宋简体" w:cs="方正仿宋简体"/>
                <w:sz w:val="22"/>
                <w:szCs w:val="22"/>
                <w:lang w:val="en-US" w:eastAsia="zh-CN"/>
              </w:rPr>
            </w:pPr>
          </w:p>
          <w:p w14:paraId="14746CDD">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both"/>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哈密奥发鑫源化工有限责任公司行为涉嫌</w:t>
            </w:r>
            <w:r>
              <w:rPr>
                <w:rFonts w:hint="default" w:ascii="方正仿宋简体" w:hAnsi="方正仿宋简体" w:eastAsia="方正仿宋简体" w:cs="方正仿宋简体"/>
                <w:sz w:val="22"/>
                <w:szCs w:val="22"/>
                <w:lang w:val="en-US" w:eastAsia="zh-CN"/>
              </w:rPr>
              <w:t>违反《化工和危险化学品生产经营单位重大事故隐患判定标准（试行）》第二条</w:t>
            </w:r>
            <w:r>
              <w:rPr>
                <w:rFonts w:hint="eastAsia" w:ascii="方正仿宋简体" w:hAnsi="方正仿宋简体" w:eastAsia="方正仿宋简体" w:cs="方正仿宋简体"/>
                <w:sz w:val="22"/>
                <w:szCs w:val="22"/>
                <w:lang w:val="en-US" w:eastAsia="zh-CN"/>
              </w:rPr>
              <w:t>、《中华人民共和国安全生产法》</w:t>
            </w:r>
            <w:r>
              <w:rPr>
                <w:rFonts w:hint="default" w:ascii="方正仿宋简体" w:hAnsi="方正仿宋简体" w:eastAsia="方正仿宋简体" w:cs="方正仿宋简体"/>
                <w:sz w:val="22"/>
                <w:szCs w:val="22"/>
                <w:lang w:val="en-US" w:eastAsia="zh-CN"/>
              </w:rPr>
              <w:t>第三十条</w:t>
            </w:r>
            <w:r>
              <w:rPr>
                <w:rFonts w:hint="eastAsia" w:ascii="方正仿宋简体" w:hAnsi="方正仿宋简体" w:eastAsia="方正仿宋简体" w:cs="方正仿宋简体"/>
                <w:sz w:val="22"/>
                <w:szCs w:val="22"/>
                <w:lang w:val="en-US" w:eastAsia="zh-CN"/>
              </w:rPr>
              <w:t>、</w:t>
            </w:r>
            <w:r>
              <w:rPr>
                <w:rFonts w:hint="default" w:ascii="方正仿宋简体" w:hAnsi="方正仿宋简体" w:eastAsia="方正仿宋简体" w:cs="方正仿宋简体"/>
                <w:sz w:val="22"/>
                <w:szCs w:val="22"/>
                <w:lang w:val="en-US" w:eastAsia="zh-CN"/>
              </w:rPr>
              <w:t>第三十六条第二款</w:t>
            </w:r>
            <w:r>
              <w:rPr>
                <w:rFonts w:hint="eastAsia" w:ascii="方正仿宋简体" w:hAnsi="方正仿宋简体" w:eastAsia="方正仿宋简体" w:cs="方正仿宋简体"/>
                <w:sz w:val="22"/>
                <w:szCs w:val="22"/>
                <w:lang w:val="en-US" w:eastAsia="zh-CN"/>
              </w:rPr>
              <w:t>的规定，根据《中华人民共和国安全生产法》</w:t>
            </w:r>
            <w:r>
              <w:rPr>
                <w:rFonts w:hint="default" w:ascii="方正仿宋简体" w:hAnsi="方正仿宋简体" w:eastAsia="方正仿宋简体" w:cs="方正仿宋简体"/>
                <w:sz w:val="22"/>
                <w:szCs w:val="22"/>
                <w:lang w:val="en-US" w:eastAsia="zh-CN"/>
              </w:rPr>
              <w:t>第九十七条第（七）项</w:t>
            </w:r>
            <w:r>
              <w:rPr>
                <w:rFonts w:hint="eastAsia" w:ascii="方正仿宋简体" w:hAnsi="方正仿宋简体" w:eastAsia="方正仿宋简体" w:cs="方正仿宋简体"/>
                <w:sz w:val="22"/>
                <w:szCs w:val="22"/>
                <w:lang w:val="en-US" w:eastAsia="zh-CN"/>
              </w:rPr>
              <w:t>、</w:t>
            </w:r>
            <w:r>
              <w:rPr>
                <w:rFonts w:hint="default" w:ascii="方正仿宋简体" w:hAnsi="方正仿宋简体" w:eastAsia="方正仿宋简体" w:cs="方正仿宋简体"/>
                <w:sz w:val="22"/>
                <w:szCs w:val="22"/>
                <w:lang w:val="en-US" w:eastAsia="zh-CN"/>
              </w:rPr>
              <w:t>第九十九条第（三）项</w:t>
            </w:r>
            <w:r>
              <w:rPr>
                <w:rFonts w:hint="eastAsia" w:ascii="方正仿宋简体" w:hAnsi="方正仿宋简体" w:eastAsia="方正仿宋简体" w:cs="方正仿宋简体"/>
                <w:sz w:val="22"/>
                <w:szCs w:val="22"/>
                <w:lang w:val="en-US" w:eastAsia="zh-CN"/>
              </w:rPr>
              <w:t>的规定和《安全生产违法行为行政处罚办法》第五十三条内容进行处罚。</w:t>
            </w:r>
          </w:p>
          <w:p w14:paraId="7105E497">
            <w:pPr>
              <w:keepNext w:val="0"/>
              <w:keepLines w:val="0"/>
              <w:pageBreakBefore w:val="0"/>
              <w:widowControl/>
              <w:kinsoku/>
              <w:wordWrap/>
              <w:overflowPunct/>
              <w:topLinePunct w:val="0"/>
              <w:autoSpaceDE/>
              <w:autoSpaceDN/>
              <w:bidi w:val="0"/>
              <w:adjustRightInd/>
              <w:snapToGrid/>
              <w:spacing w:line="340" w:lineRule="exact"/>
              <w:ind w:firstLine="440" w:firstLineChars="200"/>
              <w:jc w:val="left"/>
              <w:textAlignment w:val="auto"/>
              <w:rPr>
                <w:rFonts w:hint="default" w:ascii="宋体" w:hAnsi="宋体" w:eastAsia="宋体" w:cs="宋体"/>
                <w:i w:val="0"/>
                <w:color w:val="auto"/>
                <w:kern w:val="0"/>
                <w:sz w:val="22"/>
                <w:szCs w:val="22"/>
                <w:u w:val="none"/>
                <w:lang w:val="en-US" w:eastAsia="zh-CN" w:bidi="ar"/>
              </w:rPr>
            </w:pPr>
          </w:p>
        </w:tc>
      </w:tr>
      <w:tr w14:paraId="51522EC3">
        <w:tblPrEx>
          <w:tblCellMar>
            <w:top w:w="0" w:type="dxa"/>
            <w:left w:w="0" w:type="dxa"/>
            <w:bottom w:w="0" w:type="dxa"/>
            <w:right w:w="0" w:type="dxa"/>
          </w:tblCellMar>
        </w:tblPrEx>
        <w:trPr>
          <w:trHeight w:val="1539"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7AB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处罚结果</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459BB">
            <w:pPr>
              <w:keepNext w:val="0"/>
              <w:keepLines w:val="0"/>
              <w:pageBreakBefore w:val="0"/>
              <w:widowControl/>
              <w:kinsoku/>
              <w:wordWrap/>
              <w:overflowPunct/>
              <w:topLinePunct w:val="0"/>
              <w:autoSpaceDE/>
              <w:autoSpaceDN/>
              <w:bidi w:val="0"/>
              <w:adjustRightInd/>
              <w:snapToGrid/>
              <w:spacing w:line="340" w:lineRule="exact"/>
              <w:ind w:firstLine="440" w:firstLineChars="200"/>
              <w:jc w:val="left"/>
              <w:textAlignment w:val="auto"/>
              <w:rPr>
                <w:rFonts w:hint="eastAsia"/>
                <w:sz w:val="20"/>
                <w:szCs w:val="22"/>
                <w:lang w:val="en-US" w:eastAsia="zh-CN"/>
              </w:rPr>
            </w:pPr>
            <w:r>
              <w:rPr>
                <w:rFonts w:hint="eastAsia" w:ascii="方正仿宋简体" w:hAnsi="方正仿宋简体" w:eastAsia="方正仿宋简体" w:cs="方正仿宋简体"/>
                <w:sz w:val="22"/>
                <w:szCs w:val="22"/>
                <w:lang w:val="en-US" w:eastAsia="zh-CN"/>
              </w:rPr>
              <w:t>对哈密奥发鑫源化工有限责任公司给予责令限期改正，处以人民币叁万元整（</w:t>
            </w:r>
            <w:r>
              <w:rPr>
                <w:rFonts w:hint="default" w:ascii="方正仿宋简体" w:hAnsi="方正仿宋简体" w:eastAsia="方正仿宋简体" w:cs="方正仿宋简体"/>
                <w:sz w:val="22"/>
                <w:szCs w:val="22"/>
                <w:lang w:val="en-US" w:eastAsia="zh-CN"/>
              </w:rPr>
              <w:t>¥</w:t>
            </w:r>
            <w:r>
              <w:rPr>
                <w:rFonts w:hint="eastAsia" w:ascii="方正仿宋简体" w:hAnsi="方正仿宋简体" w:eastAsia="方正仿宋简体" w:cs="方正仿宋简体"/>
                <w:sz w:val="22"/>
                <w:szCs w:val="22"/>
                <w:lang w:val="en-US" w:eastAsia="zh-CN"/>
              </w:rPr>
              <w:t>30000元）罚款的行政处罚。</w:t>
            </w:r>
          </w:p>
        </w:tc>
      </w:tr>
      <w:tr w14:paraId="0350067D">
        <w:tblPrEx>
          <w:tblCellMar>
            <w:top w:w="0" w:type="dxa"/>
            <w:left w:w="0" w:type="dxa"/>
            <w:bottom w:w="0" w:type="dxa"/>
            <w:right w:w="0" w:type="dxa"/>
          </w:tblCellMar>
        </w:tblPrEx>
        <w:trPr>
          <w:trHeight w:val="647"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93E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行政相对人名称</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B1B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方正仿宋简体" w:hAnsi="方正仿宋简体" w:eastAsia="方正仿宋简体" w:cs="方正仿宋简体"/>
                <w:sz w:val="22"/>
                <w:szCs w:val="22"/>
                <w:lang w:val="en-US" w:eastAsia="zh-CN"/>
              </w:rPr>
              <w:t>哈密奥发鑫源化工有限责任公司</w:t>
            </w:r>
          </w:p>
        </w:tc>
      </w:tr>
      <w:tr w14:paraId="7C60CA92">
        <w:tblPrEx>
          <w:tblCellMar>
            <w:top w:w="0" w:type="dxa"/>
            <w:left w:w="0" w:type="dxa"/>
            <w:bottom w:w="0" w:type="dxa"/>
            <w:right w:w="0" w:type="dxa"/>
          </w:tblCellMar>
        </w:tblPrEx>
        <w:trPr>
          <w:trHeight w:val="567"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50D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统一社会信用代码</w:t>
            </w:r>
          </w:p>
        </w:tc>
        <w:tc>
          <w:tcPr>
            <w:tcW w:w="6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8D4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简体" w:hAnsi="方正仿宋简体" w:eastAsia="方正仿宋简体" w:cs="方正仿宋简体"/>
                <w:sz w:val="22"/>
                <w:szCs w:val="22"/>
                <w:lang w:val="en-US" w:eastAsia="zh-CN"/>
              </w:rPr>
            </w:pPr>
            <w:r>
              <w:rPr>
                <w:rFonts w:hint="default" w:ascii="方正仿宋简体" w:hAnsi="方正仿宋简体" w:eastAsia="方正仿宋简体" w:cs="方正仿宋简体"/>
                <w:sz w:val="22"/>
                <w:szCs w:val="22"/>
                <w:lang w:val="en-US" w:eastAsia="zh-CN"/>
              </w:rPr>
              <w:t>91652201676337578P</w:t>
            </w:r>
          </w:p>
        </w:tc>
      </w:tr>
      <w:tr w14:paraId="2654BF93">
        <w:tblPrEx>
          <w:tblCellMar>
            <w:top w:w="0" w:type="dxa"/>
            <w:left w:w="0" w:type="dxa"/>
            <w:bottom w:w="0" w:type="dxa"/>
            <w:right w:w="0" w:type="dxa"/>
          </w:tblCellMar>
        </w:tblPrEx>
        <w:trPr>
          <w:trHeight w:val="582"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E01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法定代表人姓名</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6AC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焦文丽</w:t>
            </w:r>
            <w:bookmarkStart w:id="0" w:name="_GoBack"/>
            <w:bookmarkEnd w:id="0"/>
          </w:p>
        </w:tc>
      </w:tr>
      <w:tr w14:paraId="2B65CB16">
        <w:tblPrEx>
          <w:tblCellMar>
            <w:top w:w="0" w:type="dxa"/>
            <w:left w:w="0" w:type="dxa"/>
            <w:bottom w:w="0" w:type="dxa"/>
            <w:right w:w="0" w:type="dxa"/>
          </w:tblCellMar>
        </w:tblPrEx>
        <w:trPr>
          <w:trHeight w:val="633" w:hRule="atLeast"/>
        </w:trPr>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308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处罚决定日期</w:t>
            </w:r>
          </w:p>
        </w:tc>
        <w:tc>
          <w:tcPr>
            <w:tcW w:w="6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BAD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方正仿宋简体" w:hAnsi="方正仿宋简体" w:eastAsia="方正仿宋简体" w:cs="方正仿宋简体"/>
                <w:sz w:val="22"/>
                <w:szCs w:val="22"/>
                <w:lang w:val="en-US" w:eastAsia="zh-CN"/>
              </w:rPr>
              <w:t>2024年9月4日</w:t>
            </w:r>
          </w:p>
        </w:tc>
      </w:tr>
    </w:tbl>
    <w:p w14:paraId="61A983AB">
      <w:pPr>
        <w:keepNext w:val="0"/>
        <w:keepLines w:val="0"/>
        <w:pageBreakBefore w:val="0"/>
        <w:widowControl w:val="0"/>
        <w:kinsoku/>
        <w:wordWrap/>
        <w:overflowPunct/>
        <w:topLinePunct w:val="0"/>
        <w:autoSpaceDE/>
        <w:autoSpaceDN/>
        <w:bidi w:val="0"/>
        <w:adjustRightInd/>
        <w:snapToGrid/>
        <w:spacing w:line="340" w:lineRule="exact"/>
        <w:textAlignment w:val="auto"/>
        <w:rPr>
          <w:vanish w:val="0"/>
          <w:color w:val="auto"/>
          <w:sz w:val="21"/>
        </w:rPr>
      </w:pP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ZjExNTUzMmU3NWEzZjQzMThiYTUxNmU2NzY2OTkifQ=="/>
  </w:docVars>
  <w:rsids>
    <w:rsidRoot w:val="00000000"/>
    <w:rsid w:val="05056D9E"/>
    <w:rsid w:val="080B4BCD"/>
    <w:rsid w:val="08D631A4"/>
    <w:rsid w:val="0BE464AC"/>
    <w:rsid w:val="126807AF"/>
    <w:rsid w:val="134A6C68"/>
    <w:rsid w:val="135D2E40"/>
    <w:rsid w:val="146317D4"/>
    <w:rsid w:val="210B63F6"/>
    <w:rsid w:val="21A21EE6"/>
    <w:rsid w:val="22B14836"/>
    <w:rsid w:val="247A6D09"/>
    <w:rsid w:val="27594FDF"/>
    <w:rsid w:val="313A6116"/>
    <w:rsid w:val="3330157F"/>
    <w:rsid w:val="3B9E3980"/>
    <w:rsid w:val="401A659F"/>
    <w:rsid w:val="457E617A"/>
    <w:rsid w:val="45872044"/>
    <w:rsid w:val="477136AE"/>
    <w:rsid w:val="47CE6325"/>
    <w:rsid w:val="49AC7F4E"/>
    <w:rsid w:val="49FE5ADB"/>
    <w:rsid w:val="4B716020"/>
    <w:rsid w:val="4CD51A8F"/>
    <w:rsid w:val="4EAF34D1"/>
    <w:rsid w:val="4EFD2805"/>
    <w:rsid w:val="50333537"/>
    <w:rsid w:val="531B0C60"/>
    <w:rsid w:val="576D24F2"/>
    <w:rsid w:val="5BC26220"/>
    <w:rsid w:val="5C912628"/>
    <w:rsid w:val="5D216FDE"/>
    <w:rsid w:val="5DD72473"/>
    <w:rsid w:val="5DE93B9D"/>
    <w:rsid w:val="5FC20EFB"/>
    <w:rsid w:val="60F53CD0"/>
    <w:rsid w:val="63214694"/>
    <w:rsid w:val="63C94B3F"/>
    <w:rsid w:val="6A5167DD"/>
    <w:rsid w:val="6A902328"/>
    <w:rsid w:val="6BA73F43"/>
    <w:rsid w:val="6DD1434D"/>
    <w:rsid w:val="6ED4001E"/>
    <w:rsid w:val="6F927015"/>
    <w:rsid w:val="7C3074C7"/>
    <w:rsid w:val="7ED9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宋体"/>
      <w:sz w:val="30"/>
      <w:szCs w:val="20"/>
    </w:rPr>
  </w:style>
  <w:style w:type="paragraph" w:styleId="3">
    <w:name w:val="Body Text"/>
    <w:basedOn w:val="1"/>
    <w:next w:val="4"/>
    <w:unhideWhenUsed/>
    <w:qFormat/>
    <w:uiPriority w:val="99"/>
    <w:pPr>
      <w:spacing w:after="120"/>
    </w:pPr>
  </w:style>
  <w:style w:type="paragraph" w:styleId="4">
    <w:name w:val="Body Text 2"/>
    <w:basedOn w:val="1"/>
    <w:unhideWhenUsed/>
    <w:qFormat/>
    <w:uiPriority w:val="0"/>
    <w:pPr>
      <w:spacing w:after="120" w:line="480" w:lineRule="auto"/>
    </w:pPr>
  </w:style>
  <w:style w:type="paragraph" w:styleId="5">
    <w:name w:val="Body Text First Indent"/>
    <w:basedOn w:val="3"/>
    <w:qFormat/>
    <w:uiPriority w:val="0"/>
  </w:style>
  <w:style w:type="paragraph" w:styleId="6">
    <w:name w:val="Body Text First Indent 2"/>
    <w:basedOn w:val="1"/>
    <w:next w:val="5"/>
    <w:qFormat/>
    <w:uiPriority w:val="0"/>
    <w:pPr>
      <w:spacing w:after="120"/>
      <w:ind w:left="420" w:leftChars="200"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499</Words>
  <Characters>534</Characters>
  <Lines>0</Lines>
  <Paragraphs>0</Paragraphs>
  <TotalTime>2</TotalTime>
  <ScaleCrop>false</ScaleCrop>
  <LinksUpToDate>false</LinksUpToDate>
  <CharactersWithSpaces>536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2023-04-19T07:49:00Z</dcterms:created>
  <dc:creator>Administrator</dc:creator>
  <cp:lastModifiedBy>洁洁汪</cp:lastModifiedBy>
  <dcterms:modified xsi:type="dcterms:W3CDTF">2024-09-05T02:16:43Z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7A469CB2D48044ABA8227349D71770A5_12</vt:lpwstr>
  </property>
</Properties>
</file>